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spacing w:before="0" w:after="0" w:lineRule="auto" w:line="240"/>
        <w:rPr>
          <w:rFonts w:ascii="Open Sans" w:cs="Open Sans" w:eastAsia="Open Sans" w:hAnsi="Open Sans"/>
          <w:color w:val="000000"/>
          <w:sz w:val="16"/>
          <w:szCs w:val="16"/>
        </w:rPr>
      </w:pPr>
      <w:bookmarkStart w:id="0" w:name="_a9cqg0wcqpv4" w:colFirst="0" w:colLast="0"/>
      <w:bookmarkEnd w:id="0"/>
      <w:r>
        <w:rPr>
          <w:rFonts w:ascii="Open Sans" w:cs="Open Sans" w:eastAsia="Open Sans" w:hAnsi="Open Sans"/>
          <w:color w:val="000000"/>
          <w:sz w:val="16"/>
          <w:szCs w:val="16"/>
        </w:rPr>
        <w:t>CSO Coalition Interventions</w:t>
      </w:r>
    </w:p>
    <w:bookmarkStart w:id="1" w:name="_cwkqamhj02dt" w:colFirst="0" w:colLast="0"/>
    <w:bookmarkEnd w:id="1"/>
    <w:p>
      <w:pPr>
        <w:pStyle w:val="style3"/>
        <w:spacing w:before="0" w:after="0" w:lineRule="auto" w:line="240"/>
        <w:rPr>
          <w:rFonts w:ascii="Open Sans" w:cs="Open Sans" w:eastAsia="Open Sans" w:hAnsi="Open Sans"/>
          <w:color w:val="000000"/>
          <w:sz w:val="16"/>
          <w:szCs w:val="16"/>
        </w:rPr>
      </w:pPr>
      <w:r>
        <w:rPr>
          <w:rFonts w:ascii="Open Sans" w:cs="Open Sans" w:eastAsia="Open Sans" w:hAnsi="Open Sans"/>
          <w:color w:val="000000"/>
          <w:sz w:val="16"/>
          <w:szCs w:val="16"/>
        </w:rPr>
        <w:t>District-level Quarterly Reporting</w:t>
      </w:r>
    </w:p>
    <w:p>
      <w:pPr>
        <w:pStyle w:val="style0"/>
        <w:spacing w:after="200" w:lineRule="auto" w:line="259"/>
        <w:ind w:right="15"/>
        <w:rPr>
          <w:rFonts w:ascii="Open Sans" w:cs="Open Sans" w:eastAsia="Open Sans" w:hAnsi="Open Sans"/>
          <w:b/>
          <w:color w:val="1c4587"/>
          <w:sz w:val="16"/>
          <w:szCs w:val="16"/>
        </w:rPr>
      </w:pPr>
    </w:p>
    <w:p>
      <w:pPr>
        <w:pStyle w:val="style0"/>
        <w:spacing w:after="200" w:lineRule="auto" w:line="259"/>
        <w:ind w:right="15"/>
        <w:rPr>
          <w:rFonts w:ascii="Open Sans" w:cs="Open Sans" w:eastAsia="Open Sans" w:hAnsi="Open Sans"/>
          <w:b/>
          <w:color w:val="1c4587"/>
          <w:sz w:val="16"/>
          <w:szCs w:val="16"/>
        </w:rPr>
      </w:pPr>
      <w:r>
        <w:rPr>
          <w:rFonts w:ascii="Open Sans" w:cs="Open Sans" w:eastAsia="Open Sans" w:hAnsi="Open Sans"/>
          <w:b/>
          <w:color w:val="1c4587"/>
          <w:sz w:val="16"/>
          <w:szCs w:val="16"/>
        </w:rPr>
        <w:t>1. Background Information</w:t>
      </w:r>
    </w:p>
    <w:tbl>
      <w:tblPr>
        <w:tblStyle w:val="style4099"/>
        <w:tblW w:w="9840" w:type="dxa"/>
        <w:tblInd w:w="0" w:type="dxa"/>
        <w:tblLayout w:type="fixed"/>
        <w:tblLook w:val="0400" w:firstRow="0" w:lastRow="0" w:firstColumn="0" w:lastColumn="0" w:noHBand="0" w:noVBand="1"/>
      </w:tblPr>
      <w:tblGrid>
        <w:gridCol w:w="3210"/>
        <w:gridCol w:w="6630"/>
      </w:tblGrid>
      <w:tr>
        <w:trPr/>
        <w:tc>
          <w:tcPr>
            <w:tcW w:w="3210" w:type="dxa"/>
            <w:tcBorders>
              <w:top w:val="single" w:sz="12" w:space="0" w:color="004976"/>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Reporting Quarter:</w:t>
            </w:r>
          </w:p>
        </w:tc>
        <w:tc>
          <w:tcPr>
            <w:tcW w:w="663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Third quarter (July-September) 2024</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Reporting District:</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w:t>
            </w:r>
            <w:r>
              <w:rPr>
                <w:rFonts w:ascii="Times New Roman" w:cs="Times New Roman" w:eastAsia="Open Sans" w:hAnsi="Times New Roman"/>
                <w:sz w:val="18"/>
                <w:szCs w:val="18"/>
              </w:rPr>
              <w:t>Pujehun D</w:t>
            </w:r>
            <w:r>
              <w:rPr>
                <w:rFonts w:ascii="Times New Roman" w:cs="Times New Roman" w:eastAsia="Open Sans" w:hAnsi="Times New Roman"/>
                <w:sz w:val="18"/>
                <w:szCs w:val="18"/>
              </w:rPr>
              <w:t xml:space="preserve">istrict  </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 Compiled by:</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w:t>
            </w:r>
            <w:r>
              <w:rPr>
                <w:rFonts w:ascii="Times New Roman" w:cs="Times New Roman" w:eastAsia="Open Sans" w:hAnsi="Times New Roman"/>
                <w:sz w:val="18"/>
                <w:szCs w:val="18"/>
              </w:rPr>
              <w:t>Pujehun D</w:t>
            </w:r>
            <w:r>
              <w:rPr>
                <w:rFonts w:ascii="Times New Roman" w:cs="Times New Roman" w:eastAsia="Open Sans" w:hAnsi="Times New Roman"/>
                <w:sz w:val="18"/>
                <w:szCs w:val="18"/>
              </w:rPr>
              <w:t>istrict CSOs coalition on women peace and security</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Report Reviewed and Finalized by :</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District chairperson</w:t>
            </w:r>
          </w:p>
        </w:tc>
      </w:tr>
      <w:tr>
        <w:tblPrEx/>
        <w:trPr/>
        <w:tc>
          <w:tcPr>
            <w:tcW w:w="3210" w:type="dxa"/>
            <w:tcBorders>
              <w:top w:val="dashed" w:sz="8" w:space="0" w:color="d0d3d4"/>
              <w:bottom w:val="single" w:sz="12" w:space="0" w:color="004976"/>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Report Submission Date:</w:t>
            </w:r>
          </w:p>
        </w:tc>
        <w:tc>
          <w:tcPr>
            <w:tcW w:w="6630" w:type="dxa"/>
            <w:tcBorders>
              <w:top w:val="dashed" w:sz="8" w:space="0" w:color="d0d3d4"/>
              <w:left w:val="dashed" w:sz="8" w:space="0" w:color="d0d3d4"/>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30</w:t>
            </w:r>
            <w:r>
              <w:rPr>
                <w:rFonts w:ascii="Times New Roman" w:cs="Times New Roman" w:eastAsia="Open Sans" w:hAnsi="Times New Roman"/>
                <w:sz w:val="18"/>
                <w:szCs w:val="18"/>
              </w:rPr>
              <w:t>/10/2024</w:t>
            </w:r>
          </w:p>
        </w:tc>
      </w:tr>
      <w:bookmarkStart w:id="2" w:name="_yhcqyqw7lfwr" w:colFirst="0" w:colLast="0"/>
      <w:bookmarkEnd w:id="2"/>
    </w:tbl>
    <w:p>
      <w:pPr>
        <w:pStyle w:val="style2"/>
        <w:spacing w:before="0" w:after="200" w:lineRule="auto" w:line="259"/>
        <w:ind w:right="15"/>
        <w:rPr>
          <w:rFonts w:ascii="Open Sans" w:cs="Open Sans" w:eastAsia="Open Sans" w:hAnsi="Open Sans"/>
          <w:sz w:val="16"/>
          <w:szCs w:val="16"/>
        </w:rPr>
      </w:pPr>
    </w:p>
    <w:p>
      <w:pPr>
        <w:pStyle w:val="style0"/>
        <w:spacing w:after="100" w:lineRule="auto" w:line="259"/>
        <w:ind w:right="2550"/>
        <w:rPr>
          <w:rFonts w:ascii="Open Sans" w:cs="Open Sans" w:eastAsia="Open Sans" w:hAnsi="Open Sans"/>
          <w:color w:val="1c4587"/>
          <w:sz w:val="16"/>
          <w:szCs w:val="16"/>
        </w:rPr>
      </w:pPr>
      <w:r>
        <w:rPr>
          <w:rFonts w:ascii="Open Sans" w:cs="Open Sans" w:eastAsia="Open Sans" w:hAnsi="Open Sans"/>
          <w:b/>
          <w:color w:val="1c4587"/>
          <w:sz w:val="16"/>
          <w:szCs w:val="16"/>
        </w:rPr>
        <w:t>2. Personnel and Operations</w:t>
      </w:r>
      <w:r>
        <w:rPr>
          <w:rFonts w:ascii="Open Sans" w:cs="Open Sans" w:eastAsia="Open Sans" w:hAnsi="Open Sans"/>
          <w:color w:val="1c4587"/>
          <w:sz w:val="16"/>
          <w:szCs w:val="16"/>
        </w:rPr>
        <w:t xml:space="preserve"> </w:t>
      </w:r>
    </w:p>
    <w:tbl>
      <w:tblPr>
        <w:tblStyle w:val="style4100"/>
        <w:tblW w:w="9840" w:type="dxa"/>
        <w:tblInd w:w="0" w:type="dxa"/>
        <w:tblLayout w:type="fixed"/>
        <w:tblLook w:val="0400" w:firstRow="0" w:lastRow="0" w:firstColumn="0" w:lastColumn="0" w:noHBand="0" w:noVBand="1"/>
      </w:tblPr>
      <w:tblGrid>
        <w:gridCol w:w="2985"/>
        <w:gridCol w:w="6855"/>
      </w:tblGrid>
      <w:tr>
        <w:trPr>
          <w:trHeight w:val="432" w:hRule="atLeast"/>
        </w:trPr>
        <w:tc>
          <w:tcPr>
            <w:tcW w:w="2985" w:type="dxa"/>
            <w:tcBorders>
              <w:bottom w:val="single" w:sz="18" w:space="0" w:color="ffffff"/>
              <w:right w:val="single" w:sz="12" w:space="0" w:color="ffffff"/>
            </w:tcBorders>
            <w:shd w:val="clear" w:color="auto" w:fill="004976"/>
            <w:tcMar>
              <w:top w:w="57" w:type="dxa"/>
              <w:left w:w="57" w:type="dxa"/>
              <w:bottom w:w="57" w:type="dxa"/>
              <w:right w:w="57" w:type="dxa"/>
            </w:tcMar>
            <w:vAlign w:val="center"/>
          </w:tcPr>
          <w:p>
            <w:pPr>
              <w:pStyle w:val="style0"/>
              <w:spacing w:lineRule="auto" w:line="259"/>
              <w:ind w:right="-105"/>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Headlings</w:t>
            </w:r>
          </w:p>
        </w:tc>
        <w:tc>
          <w:tcPr>
            <w:tcW w:w="685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 xml:space="preserve">Descriptions </w:t>
            </w:r>
          </w:p>
        </w:tc>
      </w:tr>
      <w:tr>
        <w:tblPrEx/>
        <w:trPr/>
        <w:tc>
          <w:tcPr>
            <w:tcW w:w="2985" w:type="dxa"/>
            <w:tcBorders>
              <w:top w:val="single" w:sz="18" w:space="0" w:color="ffffff"/>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xml:space="preserve">2.1  Staff and other personnel </w:t>
            </w:r>
          </w:p>
        </w:tc>
        <w:tc>
          <w:tcPr>
            <w:tcW w:w="6855" w:type="dxa"/>
            <w:tcBorders>
              <w:top w:val="single" w:sz="18" w:space="0" w:color="ffffff"/>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i/>
                <w:sz w:val="18"/>
                <w:szCs w:val="18"/>
              </w:rPr>
            </w:pPr>
            <w:r>
              <w:rPr>
                <w:rFonts w:ascii="Times New Roman" w:cs="Times New Roman" w:eastAsia="Open Sans" w:hAnsi="Times New Roman"/>
                <w:i/>
                <w:sz w:val="18"/>
                <w:szCs w:val="18"/>
              </w:rPr>
              <w:t>Please indicate the personnel (including consultants), who have been involved in the intervention voluntarily or paid during the reporting period, and their specific roles.</w:t>
            </w:r>
          </w:p>
          <w:p>
            <w:pPr>
              <w:pStyle w:val="style94"/>
              <w:jc w:val="both"/>
              <w:rPr>
                <w:sz w:val="20"/>
                <w:szCs w:val="20"/>
              </w:rPr>
            </w:pPr>
            <w:r>
              <w:rPr>
                <w:sz w:val="18"/>
                <w:szCs w:val="18"/>
              </w:rPr>
              <w:t>T</w:t>
            </w:r>
            <w:r>
              <w:rPr>
                <w:sz w:val="18"/>
                <w:szCs w:val="18"/>
                <w:lang w:val="en-US"/>
              </w:rPr>
              <w:t>h</w:t>
            </w:r>
            <w:r>
              <w:rPr>
                <w:sz w:val="18"/>
                <w:szCs w:val="18"/>
              </w:rPr>
              <w:t>e coalition’s work in Pujehun District primarily relies on voluntary contributions from various civil society organizations (CSOs) that are part of the coalition</w:t>
            </w:r>
            <w:r>
              <w:rPr>
                <w:sz w:val="18"/>
                <w:szCs w:val="18"/>
              </w:rPr>
              <w:t xml:space="preserve"> membership</w:t>
            </w:r>
            <w:r>
              <w:rPr>
                <w:sz w:val="18"/>
                <w:szCs w:val="18"/>
              </w:rPr>
              <w:t>. These CSOs operate within the district and focus on themes that align closely with the coalition’s mission of promoting women’s peace and security. Coalition members are responsible for independently managing the coalition’s activities. Additionally, training sessions are periodically conducted to support capacity building, providing insights and understanding necessary for addressing women’s and children’s issues within the district.</w:t>
            </w:r>
          </w:p>
        </w:tc>
      </w:tr>
      <w:tr>
        <w:tblPrEx/>
        <w:trPr>
          <w:trHeight w:val="634" w:hRule="atLeast"/>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2.2. Equipment</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i/>
                <w:sz w:val="18"/>
                <w:szCs w:val="18"/>
              </w:rPr>
            </w:pPr>
            <w:r>
              <w:rPr>
                <w:rFonts w:ascii="Times New Roman" w:cs="Times New Roman" w:eastAsia="Open Sans" w:hAnsi="Times New Roman"/>
                <w:i/>
                <w:sz w:val="18"/>
                <w:szCs w:val="18"/>
              </w:rPr>
              <w:t>Please indicate the status of the equipment for the coalition, any new purchases / donations for the reporting period, as relevant. If there are no changes from the previous reporting period, please duplicate the information</w:t>
            </w:r>
            <w:r>
              <w:rPr>
                <w:rFonts w:ascii="Times New Roman" w:cs="Times New Roman" w:eastAsia="Open Sans" w:hAnsi="Times New Roman"/>
                <w:i/>
                <w:sz w:val="18"/>
                <w:szCs w:val="18"/>
              </w:rPr>
              <w:t>.</w:t>
            </w:r>
          </w:p>
          <w:p>
            <w:pPr>
              <w:pStyle w:val="style0"/>
              <w:spacing w:lineRule="auto" w:line="259"/>
              <w:ind w:left="90" w:right="-30"/>
              <w:rPr>
                <w:rFonts w:ascii="Times New Roman" w:cs="Times New Roman" w:hAnsi="Times New Roman"/>
                <w:b/>
                <w:sz w:val="18"/>
                <w:szCs w:val="18"/>
              </w:rPr>
            </w:pPr>
            <w:r>
              <w:rPr>
                <w:rFonts w:ascii="Times New Roman" w:cs="Times New Roman" w:hAnsi="Times New Roman"/>
                <w:b/>
                <w:sz w:val="18"/>
                <w:szCs w:val="18"/>
              </w:rPr>
              <w:t>Equipment Status for the Coalition</w:t>
            </w:r>
          </w:p>
          <w:p>
            <w:pPr>
              <w:pStyle w:val="style0"/>
              <w:spacing w:lineRule="auto" w:line="259"/>
              <w:ind w:left="90" w:right="-30"/>
              <w:rPr>
                <w:rFonts w:ascii="Times New Roman" w:cs="Times New Roman" w:eastAsia="Open Sans" w:hAnsi="Times New Roman"/>
                <w:b/>
                <w:i/>
                <w:sz w:val="18"/>
                <w:szCs w:val="18"/>
              </w:rPr>
            </w:pPr>
            <w:r>
              <w:rPr>
                <w:rFonts w:ascii="Times New Roman" w:cs="Times New Roman" w:hAnsi="Times New Roman"/>
                <w:sz w:val="18"/>
                <w:szCs w:val="18"/>
              </w:rPr>
              <w:t>There have been no additional purchases or donations for the coalition</w:t>
            </w:r>
            <w:r>
              <w:rPr>
                <w:rFonts w:ascii="Times New Roman" w:cs="Times New Roman" w:hAnsi="Times New Roman"/>
                <w:sz w:val="18"/>
                <w:szCs w:val="18"/>
              </w:rPr>
              <w:t xml:space="preserve"> equipment</w:t>
            </w:r>
            <w:r>
              <w:rPr>
                <w:rFonts w:ascii="Times New Roman" w:cs="Times New Roman" w:hAnsi="Times New Roman"/>
                <w:sz w:val="18"/>
                <w:szCs w:val="18"/>
              </w:rPr>
              <w:t xml:space="preserve"> during this reporting period. The equipment previously supplied remains available at the c</w:t>
            </w:r>
            <w:r>
              <w:rPr>
                <w:rFonts w:ascii="Times New Roman" w:cs="Times New Roman" w:hAnsi="Times New Roman"/>
                <w:sz w:val="18"/>
                <w:szCs w:val="18"/>
              </w:rPr>
              <w:t>oalition secretariat, located at</w:t>
            </w:r>
            <w:r>
              <w:rPr>
                <w:rFonts w:ascii="Times New Roman" w:cs="Times New Roman" w:hAnsi="Times New Roman"/>
                <w:sz w:val="18"/>
                <w:szCs w:val="18"/>
              </w:rPr>
              <w:t xml:space="preserve"> the district headquarters at #1</w:t>
            </w:r>
            <w:r>
              <w:rPr>
                <w:rFonts w:ascii="Times New Roman" w:cs="Times New Roman" w:hAnsi="Times New Roman"/>
                <w:sz w:val="18"/>
                <w:szCs w:val="18"/>
                <w:lang w:val="en-US"/>
              </w:rPr>
              <w:t>9</w:t>
            </w:r>
            <w:r>
              <w:rPr>
                <w:rFonts w:ascii="Times New Roman" w:cs="Times New Roman" w:hAnsi="Times New Roman"/>
                <w:sz w:val="18"/>
                <w:szCs w:val="18"/>
              </w:rPr>
              <w:t xml:space="preserve"> Stoke Road, within the YAILD-SL Office.</w:t>
            </w:r>
          </w:p>
          <w:p>
            <w:pPr>
              <w:pStyle w:val="style94"/>
              <w:jc w:val="both"/>
              <w:rPr>
                <w:sz w:val="18"/>
                <w:szCs w:val="18"/>
              </w:rPr>
            </w:pPr>
            <w:r>
              <w:rPr>
                <w:sz w:val="18"/>
                <w:szCs w:val="18"/>
              </w:rPr>
              <w:t>However, the condition of the equipment is suboptimal. The desktop computer is currently unusable, as the necessary cords are missing or misaligned, rendering the computer non-functional. Additionally, while the generator had been faulty, it has since been repaired and is now operational. Nonetheless, due to the computer’s dysfunction and lack of a reliable modem or Wi-Fi for internet access, approximately 85 percent of the supplied equipment is either non-operational or unable to fully serve the coalition’s needs.</w:t>
            </w:r>
          </w:p>
          <w:p>
            <w:pPr>
              <w:pStyle w:val="style0"/>
              <w:spacing w:lineRule="auto" w:line="259"/>
              <w:ind w:left="90" w:right="-30"/>
              <w:rPr>
                <w:rFonts w:ascii="Open Sans" w:cs="Open Sans" w:eastAsia="Open Sans" w:hAnsi="Open Sans"/>
                <w:i/>
                <w:sz w:val="16"/>
                <w:szCs w:val="16"/>
              </w:rPr>
            </w:pPr>
          </w:p>
        </w:tc>
      </w:tr>
      <w:tr>
        <w:tblPrEx/>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2.3 Others</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Any other</w:t>
            </w:r>
          </w:p>
        </w:tc>
      </w:tr>
    </w:tbl>
    <w:p>
      <w:pPr>
        <w:pStyle w:val="style0"/>
        <w:spacing w:after="200" w:lineRule="auto" w:line="259"/>
        <w:ind w:right="15"/>
        <w:rPr>
          <w:sz w:val="16"/>
          <w:szCs w:val="16"/>
        </w:rPr>
      </w:pPr>
    </w:p>
    <w:p>
      <w:pPr>
        <w:pStyle w:val="style0"/>
        <w:spacing w:after="200" w:lineRule="auto" w:line="259"/>
        <w:ind w:right="15"/>
        <w:rPr>
          <w:rFonts w:ascii="Open Sans" w:cs="Open Sans" w:eastAsia="Open Sans" w:hAnsi="Open Sans"/>
          <w:b/>
          <w:color w:val="1c4587"/>
          <w:sz w:val="16"/>
          <w:szCs w:val="16"/>
        </w:rPr>
      </w:pPr>
      <w:r>
        <w:rPr>
          <w:rFonts w:ascii="Open Sans" w:cs="Open Sans" w:eastAsia="Open Sans" w:hAnsi="Open Sans"/>
          <w:b/>
          <w:color w:val="1c4587"/>
          <w:sz w:val="16"/>
          <w:szCs w:val="16"/>
        </w:rPr>
        <w:t>3. Report on Activities / Milestones Achieved</w:t>
      </w:r>
    </w:p>
    <w:tbl>
      <w:tblPr>
        <w:tblStyle w:val="style4101"/>
        <w:tblW w:w="9375" w:type="dxa"/>
        <w:tblInd w:w="0" w:type="dxa"/>
        <w:tblLayout w:type="fixed"/>
        <w:tblLook w:val="0400" w:firstRow="0" w:lastRow="0" w:firstColumn="0" w:lastColumn="0" w:noHBand="0" w:noVBand="1"/>
      </w:tblPr>
      <w:tblGrid>
        <w:gridCol w:w="735"/>
        <w:gridCol w:w="1710"/>
        <w:gridCol w:w="1935"/>
        <w:gridCol w:w="4995"/>
      </w:tblGrid>
      <w:tr>
        <w:trPr>
          <w:trHeight w:val="432" w:hRule="atLeast"/>
        </w:trPr>
        <w:tc>
          <w:tcPr>
            <w:tcW w:w="7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No/#</w:t>
            </w:r>
          </w:p>
        </w:tc>
        <w:tc>
          <w:tcPr>
            <w:tcW w:w="1710"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Activity Planned</w:t>
            </w:r>
          </w:p>
        </w:tc>
        <w:tc>
          <w:tcPr>
            <w:tcW w:w="19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i/>
                <w:color w:val="ffffff"/>
                <w:sz w:val="16"/>
                <w:szCs w:val="16"/>
              </w:rPr>
            </w:pPr>
            <w:r>
              <w:rPr>
                <w:rFonts w:ascii="Open Sans" w:cs="Open Sans" w:eastAsia="Open Sans" w:hAnsi="Open Sans"/>
                <w:b/>
                <w:color w:val="ffffff"/>
                <w:sz w:val="16"/>
                <w:szCs w:val="16"/>
              </w:rPr>
              <w:t>Status (</w:t>
            </w:r>
            <w:r>
              <w:rPr>
                <w:rFonts w:ascii="Open Sans" w:cs="Open Sans" w:eastAsia="Open Sans" w:hAnsi="Open Sans"/>
                <w:i/>
                <w:color w:val="ffffff"/>
                <w:sz w:val="16"/>
                <w:szCs w:val="16"/>
              </w:rPr>
              <w:t>Completed, In-progress, Not-started)</w:t>
            </w:r>
          </w:p>
        </w:tc>
        <w:tc>
          <w:tcPr>
            <w:tcW w:w="49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Description of Progress</w:t>
            </w:r>
          </w:p>
          <w:p>
            <w:pPr>
              <w:pStyle w:val="style0"/>
              <w:spacing w:lineRule="auto" w:line="259"/>
              <w:ind w:right="-90"/>
              <w:rPr>
                <w:rFonts w:ascii="Open Sans" w:cs="Open Sans" w:eastAsia="Open Sans" w:hAnsi="Open Sans"/>
                <w:i/>
                <w:color w:val="ffffff"/>
                <w:sz w:val="16"/>
                <w:szCs w:val="16"/>
              </w:rPr>
            </w:pPr>
            <w:r>
              <w:rPr>
                <w:rFonts w:ascii="Open Sans" w:cs="Open Sans" w:eastAsia="Open Sans" w:hAnsi="Open Sans"/>
                <w:i/>
                <w:color w:val="ffffff"/>
                <w:sz w:val="16"/>
                <w:szCs w:val="16"/>
              </w:rPr>
              <w:t>Include relevant info; total reach, locations</w:t>
            </w:r>
            <w:r>
              <w:rPr>
                <w:rFonts w:ascii="Open Sans" w:cs="Open Sans" w:eastAsia="Open Sans" w:hAnsi="Open Sans"/>
                <w:b/>
                <w:color w:val="ffffff"/>
                <w:sz w:val="16"/>
                <w:szCs w:val="16"/>
              </w:rPr>
              <w:t xml:space="preserve">, </w:t>
            </w:r>
            <w:r>
              <w:rPr>
                <w:rFonts w:ascii="Open Sans" w:cs="Open Sans" w:eastAsia="Open Sans" w:hAnsi="Open Sans"/>
                <w:i/>
                <w:color w:val="ffffff"/>
                <w:sz w:val="16"/>
                <w:szCs w:val="16"/>
              </w:rPr>
              <w:t>contributions, why</w:t>
            </w:r>
          </w:p>
        </w:tc>
      </w:tr>
      <w:tr>
        <w:tblPrEx/>
        <w:trPr/>
        <w:tc>
          <w:tcPr>
            <w:tcW w:w="7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1</w:t>
            </w:r>
          </w:p>
        </w:tc>
        <w:tc>
          <w:tcPr>
            <w:tcW w:w="171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jc w:val="left"/>
              <w:rPr>
                <w:rFonts w:ascii="Times New Roman" w:cs="Times New Roman" w:eastAsia="Open Sans" w:hAnsi="Times New Roman"/>
                <w:sz w:val="18"/>
                <w:szCs w:val="18"/>
              </w:rPr>
            </w:pPr>
            <w:r>
              <w:rPr>
                <w:rFonts w:ascii="Times New Roman" w:cs="Times New Roman" w:eastAsia="Times New Roman" w:hAnsi="Times New Roman"/>
                <w:b/>
                <w:bCs/>
                <w:sz w:val="18"/>
                <w:szCs w:val="18"/>
              </w:rPr>
              <w:t>Advocacy on Gender-Based Violence in Schools and Communities</w:t>
            </w:r>
          </w:p>
        </w:tc>
        <w:tc>
          <w:tcPr>
            <w:tcW w:w="19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Completed</w:t>
            </w:r>
          </w:p>
          <w:p>
            <w:pPr>
              <w:pStyle w:val="style0"/>
              <w:spacing w:lineRule="auto" w:line="259"/>
              <w:ind w:right="30"/>
              <w:rPr>
                <w:rFonts w:ascii="Times New Roman" w:cs="Times New Roman" w:eastAsia="Open Sans" w:hAnsi="Times New Roman"/>
                <w:sz w:val="18"/>
                <w:szCs w:val="18"/>
              </w:rPr>
            </w:pPr>
          </w:p>
        </w:tc>
        <w:tc>
          <w:tcPr>
            <w:tcW w:w="49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Times New Roman" w:hAnsi="Times New Roman"/>
                <w:sz w:val="18"/>
                <w:szCs w:val="18"/>
              </w:rPr>
              <w:t>Advocacy sessions conducted in 10 schools and 5 communities, reaching approximately 500 students and 300 community members. Focused on prevention of gender-based violence (GBV) and established reporting mechanisms for affected individuals.</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2</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Open Sans" w:hAnsi="Times New Roman"/>
                <w:sz w:val="18"/>
                <w:szCs w:val="18"/>
              </w:rPr>
            </w:pPr>
            <w:r>
              <w:rPr>
                <w:rFonts w:ascii="Times New Roman" w:cs="Times New Roman" w:eastAsia="Times New Roman" w:hAnsi="Times New Roman"/>
                <w:b/>
                <w:bCs/>
                <w:sz w:val="18"/>
                <w:szCs w:val="18"/>
              </w:rPr>
              <w:t>Community Engagement on Gender Laws and Equality, Including Devolution of Estate Act</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In Progress</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Times New Roman" w:hAnsi="Times New Roman"/>
                <w:sz w:val="18"/>
                <w:szCs w:val="18"/>
              </w:rPr>
              <w:t>Ongoing engagement in 7 communities across the district, reaching 350 women and 150 men. Workshops held on the Gender Equality Act and Devolution of Estate Act, emphasizing women’s</w:t>
            </w:r>
            <w:r>
              <w:rPr>
                <w:rFonts w:ascii="Times New Roman" w:cs="Times New Roman" w:eastAsia="Open Sans" w:hAnsi="Times New Roman"/>
                <w:sz w:val="18"/>
                <w:szCs w:val="18"/>
              </w:rPr>
              <w:t> inheritance</w:t>
            </w:r>
            <w:r>
              <w:rPr>
                <w:rFonts w:ascii="Times New Roman" w:cs="Times New Roman" w:eastAsia="Times New Roman" w:hAnsi="Times New Roman"/>
                <w:sz w:val="18"/>
                <w:szCs w:val="18"/>
              </w:rPr>
              <w:t xml:space="preserve"> rights and promoting awareness on gender laws.</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3</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Open Sans" w:hAnsi="Times New Roman"/>
                <w:sz w:val="18"/>
                <w:szCs w:val="18"/>
              </w:rPr>
            </w:pPr>
            <w:r>
              <w:rPr>
                <w:rFonts w:ascii="Times New Roman" w:cs="Times New Roman" w:eastAsia="Times New Roman" w:hAnsi="Times New Roman"/>
                <w:b/>
                <w:bCs/>
                <w:sz w:val="18"/>
                <w:szCs w:val="18"/>
              </w:rPr>
              <w:t>District Stakeholders and Relevant Institutions Engagement</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xml:space="preserve">Completed </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w:t>
            </w:r>
            <w:r>
              <w:rPr>
                <w:rFonts w:ascii="Times New Roman" w:cs="Times New Roman" w:eastAsia="Times New Roman" w:hAnsi="Times New Roman"/>
                <w:sz w:val="18"/>
                <w:szCs w:val="18"/>
              </w:rPr>
              <w:t>Engaged district stakeholders, including local council members, police, and traditional leaders, to secure their commitment to supporting gender equality initiatives and to align with the coalition’s mission in the district.</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4</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Open Sans" w:hAnsi="Times New Roman"/>
                <w:b/>
                <w:sz w:val="18"/>
                <w:szCs w:val="18"/>
              </w:rPr>
            </w:pPr>
            <w:r>
              <w:rPr>
                <w:rFonts w:ascii="Times New Roman" w:cs="Times New Roman" w:hAnsi="Times New Roman"/>
                <w:b/>
                <w:sz w:val="18"/>
                <w:szCs w:val="18"/>
              </w:rPr>
              <w:t>Advocacy on Reduction or Eradication of Domestic Violence and Sexual Assault of Women and Girls, Especially in Remote and Hard-to-Reach Areas (Riverine Zones) in the District</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In Progress</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hAnsi="Times New Roman"/>
                <w:sz w:val="18"/>
                <w:szCs w:val="18"/>
              </w:rPr>
              <w:t>Ongoing advocacy efforts in riverine zones, focusing on educating communities on domestic violence prevention and protection for women and girls. Community outreach activities are in place to increase awareness and accessibility to support services.</w:t>
            </w:r>
          </w:p>
        </w:tc>
      </w:tr>
    </w:tbl>
    <w:p>
      <w:pPr>
        <w:pStyle w:val="style0"/>
        <w:spacing w:after="200" w:lineRule="auto" w:line="259"/>
        <w:ind w:right="15"/>
        <w:rPr>
          <w:rFonts w:ascii="Times New Roman" w:cs="Times New Roman" w:hAnsi="Times New Roman"/>
          <w:sz w:val="18"/>
          <w:szCs w:val="18"/>
        </w:rPr>
      </w:pPr>
    </w:p>
    <w:p>
      <w:pPr>
        <w:pStyle w:val="style0"/>
        <w:keepLines/>
        <w:spacing w:lineRule="auto" w:line="240"/>
        <w:ind w:right="15"/>
        <w:rPr>
          <w:rFonts w:ascii="Open Sans" w:cs="Open Sans" w:eastAsia="Open Sans" w:hAnsi="Open Sans"/>
          <w:sz w:val="16"/>
          <w:szCs w:val="16"/>
        </w:rPr>
      </w:pPr>
      <w:r>
        <w:rPr>
          <w:rFonts w:ascii="Open Sans" w:cs="Open Sans" w:eastAsia="Open Sans" w:hAnsi="Open Sans"/>
          <w:b/>
          <w:color w:val="1c4587"/>
          <w:sz w:val="16"/>
          <w:szCs w:val="16"/>
        </w:rPr>
        <w:t>4. Program Results</w:t>
      </w:r>
    </w:p>
    <w:p>
      <w:pPr>
        <w:pStyle w:val="style0"/>
        <w:keepLines/>
        <w:spacing w:lineRule="auto" w:line="240"/>
        <w:ind w:right="15"/>
        <w:rPr>
          <w:rFonts w:ascii="Open Sans ExtraBold" w:cs="Open Sans ExtraBold" w:eastAsia="Open Sans ExtraBold" w:hAnsi="Open Sans ExtraBold"/>
          <w:color w:val="004976"/>
          <w:sz w:val="16"/>
          <w:szCs w:val="16"/>
        </w:rPr>
      </w:pPr>
      <w:r>
        <w:rPr>
          <w:rFonts w:ascii="Open Sans" w:cs="Open Sans" w:eastAsia="Open Sans" w:hAnsi="Open Sans"/>
          <w:i/>
          <w:sz w:val="16"/>
          <w:szCs w:val="16"/>
        </w:rPr>
        <w:t>Guidance: Provide a narrative in this space on any significant outcomes/changes as a result of the coalition intervention in your district of operation</w:t>
      </w:r>
    </w:p>
    <w:tbl>
      <w:tblPr>
        <w:tblStyle w:val="style4102"/>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94"/>
              <w:jc w:val="both"/>
              <w:rPr>
                <w:sz w:val="18"/>
                <w:szCs w:val="18"/>
              </w:rPr>
            </w:pPr>
            <w:r>
              <w:rPr>
                <w:sz w:val="18"/>
                <w:szCs w:val="18"/>
              </w:rPr>
              <w:t>The coalition’s intervention in the district has led to significant and measurable outcomes, impacting both community awareness and policy engagement on gender equality and women's rights. Key changes observed include:</w:t>
            </w:r>
          </w:p>
          <w:p>
            <w:pPr>
              <w:pStyle w:val="style94"/>
              <w:numPr>
                <w:ilvl w:val="0"/>
                <w:numId w:val="1"/>
              </w:numPr>
              <w:jc w:val="both"/>
              <w:rPr>
                <w:sz w:val="18"/>
                <w:szCs w:val="18"/>
              </w:rPr>
            </w:pPr>
            <w:r>
              <w:rPr>
                <w:rStyle w:val="style87"/>
                <w:sz w:val="18"/>
                <w:szCs w:val="18"/>
              </w:rPr>
              <w:t>Increased Awareness on Gender-Based Violence (GBV)</w:t>
            </w:r>
            <w:r>
              <w:rPr>
                <w:sz w:val="18"/>
                <w:szCs w:val="18"/>
              </w:rPr>
              <w:t>: Advocacy sessions on gender-based violence, particularly in schools and remote communities, have led to a heightened understanding of the issue. Over 800 participants, including students, teachers, and community leaders, are now more informed on GBV prevention and reporting mechanisms, contributing to a safer environment for women and girls.</w:t>
            </w:r>
          </w:p>
          <w:p>
            <w:pPr>
              <w:pStyle w:val="style94"/>
              <w:numPr>
                <w:ilvl w:val="0"/>
                <w:numId w:val="1"/>
              </w:numPr>
              <w:jc w:val="both"/>
              <w:rPr>
                <w:sz w:val="18"/>
                <w:szCs w:val="18"/>
              </w:rPr>
            </w:pPr>
            <w:r>
              <w:rPr>
                <w:rStyle w:val="style87"/>
                <w:sz w:val="18"/>
                <w:szCs w:val="18"/>
              </w:rPr>
              <w:t>Strengthened Knowledge of Gender Equality Laws</w:t>
            </w:r>
            <w:r>
              <w:rPr>
                <w:sz w:val="18"/>
                <w:szCs w:val="18"/>
              </w:rPr>
              <w:t xml:space="preserve">: Community engagement activities on the Gender Equality Act and Devolution of Estate Act </w:t>
            </w:r>
            <w:r>
              <w:rPr>
                <w:sz w:val="18"/>
                <w:szCs w:val="18"/>
              </w:rPr>
              <w:t>have empowered over 300 women and 1</w:t>
            </w:r>
            <w:r>
              <w:rPr>
                <w:sz w:val="18"/>
                <w:szCs w:val="18"/>
              </w:rPr>
              <w:t>00 men with knowledge of their legal rights. The sessions underscored women’s inheritance rights, contributing to a shift in traditional views on property and estate rights within the district.</w:t>
            </w:r>
          </w:p>
          <w:p>
            <w:pPr>
              <w:pStyle w:val="style94"/>
              <w:numPr>
                <w:ilvl w:val="0"/>
                <w:numId w:val="1"/>
              </w:numPr>
              <w:jc w:val="both"/>
              <w:rPr>
                <w:sz w:val="18"/>
                <w:szCs w:val="18"/>
              </w:rPr>
            </w:pPr>
            <w:r>
              <w:rPr>
                <w:rStyle w:val="style87"/>
                <w:sz w:val="18"/>
                <w:szCs w:val="18"/>
              </w:rPr>
              <w:t>Commitment from Local Stakeholders</w:t>
            </w:r>
            <w:r>
              <w:rPr>
                <w:sz w:val="18"/>
                <w:szCs w:val="18"/>
              </w:rPr>
              <w:t>: Engagements with district stakeholders—such as local council members, law enforcement, and traditional authorities—have resulted in official commitments to support ongoing gender equality initiatives. These stakeholders have pledged to work alongside the coalition, providing both political and social backing for gender-focused policies and advocacy efforts.</w:t>
            </w:r>
          </w:p>
          <w:p>
            <w:pPr>
              <w:pStyle w:val="style94"/>
              <w:numPr>
                <w:ilvl w:val="0"/>
                <w:numId w:val="1"/>
              </w:numPr>
              <w:jc w:val="both"/>
              <w:rPr>
                <w:sz w:val="18"/>
                <w:szCs w:val="18"/>
              </w:rPr>
            </w:pPr>
            <w:r>
              <w:rPr>
                <w:rStyle w:val="style87"/>
                <w:sz w:val="18"/>
                <w:szCs w:val="18"/>
              </w:rPr>
              <w:t>Enhanced Accessibility to Support Services</w:t>
            </w:r>
            <w:r>
              <w:rPr>
                <w:sz w:val="18"/>
                <w:szCs w:val="18"/>
              </w:rPr>
              <w:t>: In riverine and remote zones, where access to resources and support networks has historically been limited, the coalition has helped establish critical pathways for women and girls facing domestic violence or sexual assault. This includes connecting victims with local protection services and reinforcing the community’s role in safeguarding women’s rights.</w:t>
            </w:r>
          </w:p>
          <w:p>
            <w:pPr>
              <w:pStyle w:val="style0"/>
              <w:spacing w:lineRule="auto" w:line="259"/>
              <w:ind w:left="90" w:right="30"/>
              <w:rPr>
                <w:rFonts w:ascii="Open Sans" w:cs="Open Sans" w:eastAsia="Open Sans" w:hAnsi="Open Sans"/>
                <w:sz w:val="16"/>
                <w:szCs w:val="16"/>
              </w:rPr>
            </w:pPr>
          </w:p>
        </w:tc>
      </w:tr>
    </w:tbl>
    <w:p>
      <w:pPr>
        <w:pStyle w:val="style0"/>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5. Challenges and Lessons Learnt</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Documenting key challenges and lessons learnt that need to be replicated or sharing as evidence-based approach</w:t>
      </w:r>
    </w:p>
    <w:tbl>
      <w:tblPr>
        <w:tblStyle w:val="style4103"/>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94"/>
              <w:rPr>
                <w:sz w:val="18"/>
                <w:szCs w:val="18"/>
              </w:rPr>
            </w:pPr>
            <w:r>
              <w:rPr>
                <w:sz w:val="18"/>
                <w:szCs w:val="18"/>
              </w:rPr>
              <w:t>The coalition's efforts to promote gender equality and protect women’s rights have been met with both progress and significant challenges. Documenting these challenges and associated lessons provides critical insights for future interventions:</w:t>
            </w:r>
          </w:p>
          <w:p>
            <w:pPr>
              <w:pStyle w:val="style179"/>
              <w:numPr>
                <w:ilvl w:val="0"/>
                <w:numId w:val="7"/>
              </w:numPr>
              <w:spacing w:lineRule="auto" w:line="259"/>
              <w:ind w:right="15"/>
              <w:rPr>
                <w:rFonts w:ascii="Times New Roman" w:cs="Times New Roman" w:hAnsi="Times New Roman"/>
                <w:sz w:val="18"/>
                <w:szCs w:val="18"/>
              </w:rPr>
            </w:pPr>
            <w:r>
              <w:rPr>
                <w:rStyle w:val="style87"/>
                <w:rFonts w:ascii="Times New Roman" w:cs="Times New Roman" w:hAnsi="Times New Roman"/>
                <w:sz w:val="18"/>
                <w:szCs w:val="18"/>
              </w:rPr>
              <w:t>Logistical Constraints</w:t>
            </w:r>
            <w:r>
              <w:rPr>
                <w:rFonts w:ascii="Times New Roman" w:cs="Times New Roman" w:hAnsi="Times New Roman"/>
                <w:sz w:val="18"/>
                <w:szCs w:val="18"/>
              </w:rPr>
              <w:t>: One of the most pressing challenges faced is logistical, particularly in reaching remote areas far from Pujehun town. Limited funding has restricted the coalition’s ability to conduct necessary follow-up on cases in distant locations.</w:t>
            </w:r>
          </w:p>
          <w:p>
            <w:pPr>
              <w:pStyle w:val="style94"/>
              <w:numPr>
                <w:ilvl w:val="0"/>
                <w:numId w:val="7"/>
              </w:numPr>
              <w:rPr>
                <w:sz w:val="18"/>
                <w:szCs w:val="18"/>
              </w:rPr>
            </w:pPr>
            <w:r>
              <w:rPr>
                <w:rStyle w:val="style87"/>
                <w:sz w:val="18"/>
                <w:szCs w:val="18"/>
              </w:rPr>
              <w:t>Lesson on Resource Allocation</w:t>
            </w:r>
            <w:r>
              <w:rPr>
                <w:sz w:val="18"/>
                <w:szCs w:val="18"/>
              </w:rPr>
              <w:t>: This experience has highlighted the importance of strategic resource allocation for rural and remote interventions. Ensuring that adequate funds are set aside for transportation and sustained engagement in hard-to-reach areas will be essential in future program planning.</w:t>
            </w:r>
          </w:p>
          <w:p>
            <w:pPr>
              <w:pStyle w:val="style0"/>
              <w:spacing w:lineRule="auto" w:line="259"/>
              <w:ind w:right="15"/>
              <w:rPr>
                <w:rFonts w:ascii="Times New Roman" w:cs="Times New Roman" w:eastAsia="Open Sans" w:hAnsi="Times New Roman"/>
                <w:sz w:val="18"/>
                <w:szCs w:val="18"/>
              </w:rPr>
            </w:pPr>
          </w:p>
        </w:tc>
      </w:tr>
    </w:tbl>
    <w:p>
      <w:pPr>
        <w:pStyle w:val="style0"/>
        <w:rPr>
          <w:rFonts w:ascii="Times New Roman" w:cs="Times New Roman" w:eastAsia="Open Sans" w:hAnsi="Times New Roman"/>
          <w:b/>
          <w:color w:val="1c4587"/>
          <w:sz w:val="18"/>
          <w:szCs w:val="18"/>
        </w:rPr>
      </w:pPr>
    </w:p>
    <w:p>
      <w:pPr>
        <w:pStyle w:val="style0"/>
        <w:rPr>
          <w:rFonts w:ascii="Times New Roman" w:cs="Times New Roman" w:eastAsia="Open Sans" w:hAnsi="Times New Roman"/>
          <w:b/>
          <w:color w:val="1c4587"/>
          <w:sz w:val="18"/>
          <w:szCs w:val="18"/>
        </w:rPr>
      </w:pPr>
      <w:r>
        <w:rPr>
          <w:rFonts w:ascii="Times New Roman" w:cs="Times New Roman" w:eastAsia="Open Sans" w:hAnsi="Times New Roman"/>
          <w:b/>
          <w:color w:val="1c4587"/>
          <w:sz w:val="18"/>
          <w:szCs w:val="18"/>
        </w:rPr>
        <w:t>6. Innovations</w:t>
      </w:r>
    </w:p>
    <w:p>
      <w:pPr>
        <w:pStyle w:val="style0"/>
        <w:rPr>
          <w:rFonts w:ascii="Times New Roman" w:cs="Times New Roman" w:eastAsia="Open Sans" w:hAnsi="Times New Roman"/>
          <w:i/>
          <w:sz w:val="18"/>
          <w:szCs w:val="18"/>
        </w:rPr>
      </w:pPr>
      <w:r>
        <w:rPr>
          <w:rFonts w:ascii="Times New Roman" w:cs="Times New Roman" w:eastAsia="Open Sans" w:hAnsi="Times New Roman"/>
          <w:i/>
          <w:sz w:val="18"/>
          <w:szCs w:val="18"/>
        </w:rPr>
        <w:t>Innovative actions used to mitigate the challenges</w:t>
      </w:r>
    </w:p>
    <w:p>
      <w:pPr>
        <w:pStyle w:val="style94"/>
        <w:numPr>
          <w:ilvl w:val="0"/>
          <w:numId w:val="8"/>
        </w:numPr>
        <w:rPr>
          <w:sz w:val="18"/>
          <w:szCs w:val="18"/>
        </w:rPr>
      </w:pPr>
      <w:r>
        <w:rPr>
          <w:rStyle w:val="style87"/>
          <w:sz w:val="18"/>
          <w:szCs w:val="18"/>
        </w:rPr>
        <w:t>Community-Based Partnerships</w:t>
      </w:r>
      <w:r>
        <w:rPr>
          <w:sz w:val="18"/>
          <w:szCs w:val="18"/>
        </w:rPr>
        <w:t>: Establishing partnerships with local community groups and volunteers in remote areas has proven beneficial. These partnerships enable quicker response times and cost-effective follow-up on urgent cases, minimizing the need for extensive travel by coalition members.</w:t>
      </w:r>
    </w:p>
    <w:p>
      <w:pPr>
        <w:pStyle w:val="style94"/>
        <w:ind w:left="720"/>
        <w:rPr>
          <w:sz w:val="18"/>
          <w:szCs w:val="18"/>
        </w:rPr>
      </w:pPr>
    </w:p>
    <w:p>
      <w:pPr>
        <w:pStyle w:val="style94"/>
        <w:numPr>
          <w:ilvl w:val="0"/>
          <w:numId w:val="8"/>
        </w:numPr>
        <w:rPr>
          <w:sz w:val="18"/>
          <w:szCs w:val="18"/>
        </w:rPr>
      </w:pPr>
      <w:r>
        <w:rPr>
          <w:rStyle w:val="style87"/>
          <w:sz w:val="18"/>
          <w:szCs w:val="18"/>
        </w:rPr>
        <w:t>Digital Monitoring Tools</w:t>
      </w:r>
      <w:r>
        <w:rPr>
          <w:sz w:val="18"/>
          <w:szCs w:val="18"/>
        </w:rPr>
        <w:t>: To overcome logistical barriers, the coalition is piloting digital tools for case tracking and remote reporting. These tools allow community representatives to provide real-time updates on cases, enabling the coalition to monitor progress and offer guidance without the need for immediate physical presence.</w:t>
      </w:r>
    </w:p>
    <w:p>
      <w:pPr>
        <w:pStyle w:val="style0"/>
        <w:rPr>
          <w:rFonts w:ascii="Open Sans" w:cs="Open Sans" w:eastAsia="Open Sans" w:hAnsi="Open Sans"/>
          <w:b/>
          <w:color w:val="1c4587"/>
          <w:sz w:val="16"/>
          <w:szCs w:val="16"/>
        </w:rPr>
      </w:pPr>
    </w:p>
    <w:tbl>
      <w:tblPr>
        <w:tblStyle w:val="style4104"/>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b/>
                <w:color w:val="004976"/>
                <w:sz w:val="16"/>
                <w:szCs w:val="16"/>
              </w:rPr>
              <w:t xml:space="preserve"> </w:t>
            </w:r>
          </w:p>
        </w:tc>
      </w:tr>
    </w:tbl>
    <w:p>
      <w:pPr>
        <w:pStyle w:val="style0"/>
        <w:rPr>
          <w:rFonts w:ascii="Open Sans" w:cs="Open Sans" w:eastAsia="Open Sans" w:hAnsi="Open Sans"/>
          <w:b/>
          <w:color w:val="1c4587"/>
          <w:sz w:val="16"/>
          <w:szCs w:val="16"/>
        </w:rPr>
      </w:pPr>
    </w:p>
    <w:p>
      <w:pPr>
        <w:pStyle w:val="style0"/>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7. Next Quarter Activity Plan</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Please indicate the planned activities for the next quarter using the below table</w:t>
      </w:r>
    </w:p>
    <w:tbl>
      <w:tblPr>
        <w:tblStyle w:val="style4105"/>
        <w:tblW w:w="9960" w:type="dxa"/>
        <w:tblInd w:w="0" w:type="dxa"/>
        <w:tblLayout w:type="fixed"/>
        <w:tblLook w:val="0400" w:firstRow="0" w:lastRow="0" w:firstColumn="0" w:lastColumn="0" w:noHBand="0" w:noVBand="1"/>
      </w:tblPr>
      <w:tblGrid>
        <w:gridCol w:w="795"/>
        <w:gridCol w:w="1695"/>
        <w:gridCol w:w="1965"/>
        <w:gridCol w:w="1995"/>
        <w:gridCol w:w="1635"/>
        <w:gridCol w:w="1875"/>
      </w:tblGrid>
      <w:tr>
        <w:trPr>
          <w:trHeight w:val="432" w:hRule="atLeast"/>
        </w:trPr>
        <w:tc>
          <w:tcPr>
            <w:tcW w:w="9960" w:type="dxa"/>
            <w:gridSpan w:val="6"/>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Planning Quarter:</w:t>
            </w:r>
          </w:p>
        </w:tc>
      </w:tr>
      <w:tr>
        <w:tblPrEx/>
        <w:trPr>
          <w:trHeight w:val="432" w:hRule="atLeast"/>
        </w:trPr>
        <w:tc>
          <w:tcPr>
            <w:tcW w:w="7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No/#</w:t>
            </w:r>
          </w:p>
        </w:tc>
        <w:tc>
          <w:tcPr>
            <w:tcW w:w="16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Planned Activity</w:t>
            </w:r>
          </w:p>
        </w:tc>
        <w:tc>
          <w:tcPr>
            <w:tcW w:w="196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Responsible Person</w:t>
            </w:r>
          </w:p>
        </w:tc>
        <w:tc>
          <w:tcPr>
            <w:tcW w:w="19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 xml:space="preserve"> Resources Required</w:t>
            </w:r>
          </w:p>
        </w:tc>
        <w:tc>
          <w:tcPr>
            <w:tcW w:w="16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Target Beneficiaries</w:t>
            </w:r>
          </w:p>
        </w:tc>
        <w:tc>
          <w:tcPr>
            <w:tcW w:w="187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Date of Implementation</w:t>
            </w:r>
          </w:p>
        </w:tc>
      </w:tr>
      <w:tr>
        <w:tblPrEx/>
        <w:trPr/>
        <w:tc>
          <w:tcPr>
            <w:tcW w:w="7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1</w:t>
            </w:r>
          </w:p>
        </w:tc>
        <w:tc>
          <w:tcPr>
            <w:tcW w:w="16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spacing w:lineRule="auto" w:line="259"/>
              <w:ind w:right="30"/>
              <w:rPr>
                <w:rFonts w:ascii="Times New Roman" w:cs="Times New Roman" w:eastAsia="Open Sans" w:hAnsi="Times New Roman"/>
                <w:sz w:val="18"/>
                <w:szCs w:val="18"/>
              </w:rPr>
            </w:pPr>
            <w:r>
              <w:rPr>
                <w:rFonts w:ascii="Times New Roman" w:cs="Times New Roman" w:eastAsia="Times New Roman" w:hAnsi="Times New Roman"/>
                <w:sz w:val="18"/>
                <w:szCs w:val="18"/>
              </w:rPr>
              <w:t>Community engageme</w:t>
            </w:r>
            <w:r>
              <w:rPr>
                <w:rFonts w:ascii="Times New Roman" w:cs="Times New Roman" w:eastAsia="Times New Roman" w:hAnsi="Times New Roman"/>
                <w:sz w:val="18"/>
                <w:szCs w:val="18"/>
              </w:rPr>
              <w:t xml:space="preserve">nt </w:t>
            </w:r>
            <w:r>
              <w:rPr>
                <w:rFonts w:ascii="Times New Roman" w:cs="Times New Roman" w:eastAsia="Times New Roman" w:hAnsi="Times New Roman"/>
                <w:sz w:val="18"/>
                <w:szCs w:val="18"/>
              </w:rPr>
              <w:t>on gender equality laws and women’s rights</w:t>
            </w:r>
          </w:p>
        </w:tc>
        <w:tc>
          <w:tcPr>
            <w:tcW w:w="196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 xml:space="preserve">Coalition executive officers and other stakeholders </w:t>
            </w:r>
          </w:p>
        </w:tc>
        <w:tc>
          <w:tcPr>
            <w:tcW w:w="19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3"/>
              </w:numPr>
              <w:spacing w:lineRule="auto" w:line="259"/>
              <w:ind w:right="30"/>
              <w:rPr>
                <w:rFonts w:ascii="Times New Roman" w:cs="Times New Roman" w:eastAsia="Open Sans" w:hAnsi="Times New Roman"/>
                <w:sz w:val="18"/>
                <w:szCs w:val="18"/>
              </w:rPr>
            </w:pPr>
            <w:r>
              <w:rPr>
                <w:rFonts w:ascii="Times New Roman" w:cs="Times New Roman" w:eastAsia="Times New Roman" w:hAnsi="Times New Roman"/>
                <w:sz w:val="18"/>
                <w:szCs w:val="18"/>
              </w:rPr>
              <w:t xml:space="preserve">Training materials, </w:t>
            </w:r>
            <w:r>
              <w:rPr>
                <w:rFonts w:ascii="Times New Roman" w:cs="Times New Roman" w:eastAsia="Times New Roman" w:hAnsi="Times New Roman"/>
                <w:sz w:val="18"/>
                <w:szCs w:val="18"/>
              </w:rPr>
              <w:t xml:space="preserve"> </w:t>
            </w:r>
            <w:r>
              <w:rPr>
                <w:rFonts w:ascii="Times New Roman" w:cs="Times New Roman" w:eastAsia="Times New Roman" w:hAnsi="Times New Roman"/>
                <w:sz w:val="18"/>
                <w:szCs w:val="18"/>
              </w:rPr>
              <w:t>transportation funds</w:t>
            </w:r>
          </w:p>
        </w:tc>
        <w:tc>
          <w:tcPr>
            <w:tcW w:w="16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4"/>
              </w:numPr>
              <w:spacing w:lineRule="auto" w:line="259"/>
              <w:ind w:right="30"/>
              <w:rPr>
                <w:rFonts w:ascii="Times New Roman" w:cs="Times New Roman" w:eastAsia="Open Sans" w:hAnsi="Times New Roman"/>
                <w:sz w:val="18"/>
                <w:szCs w:val="18"/>
              </w:rPr>
            </w:pPr>
            <w:r>
              <w:rPr>
                <w:rFonts w:ascii="Times New Roman" w:cs="Times New Roman" w:eastAsia="Times New Roman" w:hAnsi="Times New Roman"/>
                <w:sz w:val="18"/>
                <w:szCs w:val="18"/>
              </w:rPr>
              <w:t>200 communit</w:t>
            </w:r>
            <w:r>
              <w:rPr>
                <w:rFonts w:ascii="Times New Roman" w:cs="Times New Roman" w:eastAsia="Times New Roman" w:hAnsi="Times New Roman"/>
                <w:sz w:val="18"/>
                <w:szCs w:val="18"/>
              </w:rPr>
              <w:t>y members</w:t>
            </w:r>
          </w:p>
        </w:tc>
        <w:tc>
          <w:tcPr>
            <w:tcW w:w="187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November, 10</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xml:space="preserve"> – 15</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2024</w:t>
            </w:r>
          </w:p>
          <w:p>
            <w:pPr>
              <w:pStyle w:val="style0"/>
              <w:spacing w:lineRule="auto" w:line="259"/>
              <w:ind w:right="30"/>
              <w:rPr>
                <w:rFonts w:ascii="Times New Roman" w:cs="Times New Roman" w:eastAsia="Open Sans" w:hAnsi="Times New Roman"/>
                <w:sz w:val="18"/>
                <w:szCs w:val="18"/>
                <w:vertAlign w:val="subscript"/>
              </w:rPr>
            </w:pPr>
          </w:p>
          <w:p>
            <w:pPr>
              <w:pStyle w:val="style0"/>
              <w:spacing w:lineRule="auto" w:line="259"/>
              <w:ind w:right="30"/>
              <w:rPr>
                <w:rFonts w:ascii="Times New Roman" w:cs="Times New Roman" w:eastAsia="Open Sans" w:hAnsi="Times New Roman"/>
                <w:sz w:val="18"/>
                <w:szCs w:val="18"/>
                <w:vertAlign w:val="subscript"/>
              </w:rPr>
            </w:pP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2</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Times New Roman" w:hAnsi="Times New Roman"/>
                <w:sz w:val="18"/>
                <w:szCs w:val="18"/>
              </w:rPr>
              <w:t>Training for local leaders on domestic violence prevention and response</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xml:space="preserve">Coalition executive officers </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w:t>
            </w:r>
            <w:r>
              <w:rPr>
                <w:rFonts w:ascii="Times New Roman" w:cs="Times New Roman" w:eastAsia="Times New Roman" w:hAnsi="Times New Roman"/>
                <w:sz w:val="18"/>
                <w:szCs w:val="18"/>
              </w:rPr>
              <w:t>Training mater</w:t>
            </w:r>
            <w:r>
              <w:rPr>
                <w:rFonts w:ascii="Times New Roman" w:cs="Times New Roman" w:eastAsia="Times New Roman" w:hAnsi="Times New Roman"/>
                <w:sz w:val="18"/>
                <w:szCs w:val="18"/>
              </w:rPr>
              <w:t xml:space="preserve">ials and coalition executives </w:t>
            </w:r>
            <w:r>
              <w:rPr>
                <w:rFonts w:ascii="Times New Roman" w:cs="Times New Roman" w:eastAsia="Times New Roman" w:hAnsi="Times New Roman"/>
                <w:sz w:val="18"/>
                <w:szCs w:val="18"/>
              </w:rPr>
              <w:t>feeding</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Times New Roman" w:hAnsi="Times New Roman"/>
                <w:sz w:val="18"/>
                <w:szCs w:val="18"/>
              </w:rPr>
              <w:t>50 local leaders from 5 communities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Times New Roman" w:cs="Times New Roman" w:eastAsia="Open Sans" w:hAnsi="Times New Roman"/>
                <w:sz w:val="18"/>
                <w:szCs w:val="18"/>
              </w:rPr>
            </w:pPr>
            <w:r>
              <w:rPr>
                <w:rFonts w:ascii="Times New Roman" w:cs="Times New Roman" w:eastAsia="Open Sans" w:hAnsi="Times New Roman"/>
                <w:sz w:val="18"/>
                <w:szCs w:val="18"/>
              </w:rPr>
              <w:t>November, 15</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xml:space="preserve"> – 20</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2024</w:t>
            </w:r>
          </w:p>
          <w:p>
            <w:pPr>
              <w:pStyle w:val="style0"/>
              <w:spacing w:lineRule="auto" w:line="259"/>
              <w:ind w:right="30"/>
              <w:rPr>
                <w:rFonts w:ascii="Times New Roman" w:cs="Times New Roman" w:eastAsia="Open Sans" w:hAnsi="Times New Roman"/>
                <w:sz w:val="18"/>
                <w:szCs w:val="18"/>
                <w:vertAlign w:val="subscript"/>
              </w:rPr>
            </w:pPr>
          </w:p>
          <w:p>
            <w:pPr>
              <w:pStyle w:val="style0"/>
              <w:spacing w:lineRule="auto" w:line="259"/>
              <w:ind w:left="90" w:right="30"/>
              <w:rPr>
                <w:rFonts w:ascii="Times New Roman" w:cs="Times New Roman" w:eastAsia="Open Sans" w:hAnsi="Times New Roman"/>
                <w:sz w:val="18"/>
                <w:szCs w:val="18"/>
              </w:rPr>
            </w:pP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3</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Times New Roman" w:hAnsi="Times New Roman"/>
                <w:sz w:val="18"/>
                <w:szCs w:val="18"/>
              </w:rPr>
              <w:t>School outreach on gender-based violence awareness</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The coalition education team</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Times New Roman" w:hAnsi="Times New Roman"/>
                <w:sz w:val="18"/>
                <w:szCs w:val="18"/>
              </w:rPr>
              <w:t>Outreach materials, transportation, refreshments</w:t>
            </w:r>
            <w:r>
              <w:rPr>
                <w:rFonts w:ascii="Times New Roman" w:cs="Times New Roman" w:eastAsia="Open Sans" w:hAnsi="Times New Roman"/>
                <w:sz w:val="18"/>
                <w:szCs w:val="18"/>
              </w:rPr>
              <w:t xml:space="preserve"> </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Open Sans" w:hAnsi="Times New Roman"/>
                <w:sz w:val="18"/>
                <w:szCs w:val="18"/>
              </w:rPr>
            </w:pPr>
            <w:r>
              <w:rPr>
                <w:rFonts w:ascii="Times New Roman" w:cs="Times New Roman" w:eastAsia="Times New Roman" w:hAnsi="Times New Roman"/>
                <w:sz w:val="18"/>
                <w:szCs w:val="18"/>
              </w:rPr>
              <w:t>300 students across 10 schools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November, 25</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xml:space="preserve"> – 30</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2024</w:t>
            </w: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4</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Times New Roman" w:hAnsi="Times New Roman"/>
                <w:sz w:val="18"/>
                <w:szCs w:val="18"/>
              </w:rPr>
            </w:pPr>
            <w:r>
              <w:rPr>
                <w:rFonts w:ascii="Times New Roman" w:cs="Times New Roman" w:eastAsia="Times New Roman" w:hAnsi="Times New Roman"/>
                <w:sz w:val="18"/>
                <w:szCs w:val="18"/>
              </w:rPr>
              <w:t>Follow-up visits to remote areas for case monitoring and support</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Coalition education &amp; Awareness Raising  team</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Times New Roman" w:hAnsi="Times New Roman"/>
                <w:sz w:val="18"/>
                <w:szCs w:val="18"/>
              </w:rPr>
            </w:pPr>
            <w:r>
              <w:rPr>
                <w:rFonts w:ascii="Times New Roman" w:cs="Times New Roman" w:eastAsia="Times New Roman" w:hAnsi="Times New Roman"/>
                <w:sz w:val="18"/>
                <w:szCs w:val="18"/>
              </w:rPr>
              <w:t>Transportation &amp; field allowances</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Times New Roman" w:hAnsi="Times New Roman"/>
                <w:sz w:val="18"/>
                <w:szCs w:val="18"/>
              </w:rPr>
            </w:pPr>
            <w:r>
              <w:rPr>
                <w:rFonts w:ascii="Times New Roman" w:cs="Times New Roman" w:eastAsia="Times New Roman" w:hAnsi="Times New Roman"/>
                <w:sz w:val="18"/>
                <w:szCs w:val="18"/>
              </w:rPr>
              <w:t>Domestic violence survivors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December,</w:t>
            </w:r>
            <w:r>
              <w:rPr>
                <w:rFonts w:ascii="Times New Roman" w:cs="Times New Roman" w:eastAsia="Open Sans" w:hAnsi="Times New Roman"/>
                <w:sz w:val="18"/>
                <w:szCs w:val="18"/>
              </w:rPr>
              <w:t xml:space="preserve"> 5</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xml:space="preserve"> -</w:t>
            </w:r>
            <w:r>
              <w:rPr>
                <w:rFonts w:ascii="Times New Roman" w:cs="Times New Roman" w:eastAsia="Open Sans" w:hAnsi="Times New Roman"/>
                <w:sz w:val="18"/>
                <w:szCs w:val="18"/>
              </w:rPr>
              <w:t xml:space="preserve"> 10</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2024</w:t>
            </w: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5</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Times New Roman" w:hAnsi="Times New Roman"/>
                <w:sz w:val="18"/>
                <w:szCs w:val="18"/>
              </w:rPr>
            </w:pPr>
            <w:r>
              <w:rPr>
                <w:rFonts w:ascii="Times New Roman" w:cs="Times New Roman" w:eastAsia="Times New Roman" w:hAnsi="Times New Roman"/>
                <w:sz w:val="18"/>
                <w:szCs w:val="18"/>
              </w:rPr>
              <w:t>District stakeholders meeting to assess program impact and future needs</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 xml:space="preserve">The Coalition Executives only </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Times New Roman" w:hAnsi="Times New Roman"/>
                <w:sz w:val="18"/>
                <w:szCs w:val="18"/>
              </w:rPr>
            </w:pPr>
            <w:r>
              <w:rPr>
                <w:rFonts w:ascii="Times New Roman" w:cs="Times New Roman" w:eastAsia="Times New Roman" w:hAnsi="Times New Roman"/>
                <w:sz w:val="18"/>
                <w:szCs w:val="18"/>
              </w:rPr>
              <w:t>Meeting venue, refreshments &amp;  report materials</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jc w:val="left"/>
              <w:rPr>
                <w:rFonts w:ascii="Times New Roman" w:cs="Times New Roman" w:eastAsia="Times New Roman" w:hAnsi="Times New Roman"/>
                <w:sz w:val="18"/>
                <w:szCs w:val="18"/>
              </w:rPr>
            </w:pPr>
            <w:r>
              <w:rPr>
                <w:rFonts w:ascii="Times New Roman" w:cs="Times New Roman" w:eastAsia="Times New Roman" w:hAnsi="Times New Roman"/>
                <w:sz w:val="18"/>
                <w:szCs w:val="18"/>
              </w:rPr>
              <w:t>District stakeholders and relevant partners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Times New Roman" w:cs="Times New Roman" w:eastAsia="Open Sans" w:hAnsi="Times New Roman"/>
                <w:sz w:val="18"/>
                <w:szCs w:val="18"/>
              </w:rPr>
            </w:pPr>
            <w:r>
              <w:rPr>
                <w:rFonts w:ascii="Times New Roman" w:cs="Times New Roman" w:eastAsia="Open Sans" w:hAnsi="Times New Roman"/>
                <w:sz w:val="18"/>
                <w:szCs w:val="18"/>
              </w:rPr>
              <w:t>15</w:t>
            </w:r>
            <w:r>
              <w:rPr>
                <w:rFonts w:ascii="Times New Roman" w:cs="Times New Roman" w:eastAsia="Open Sans" w:hAnsi="Times New Roman"/>
                <w:sz w:val="18"/>
                <w:szCs w:val="18"/>
                <w:vertAlign w:val="superscript"/>
              </w:rPr>
              <w:t>th</w:t>
            </w:r>
            <w:r>
              <w:rPr>
                <w:rFonts w:ascii="Times New Roman" w:cs="Times New Roman" w:eastAsia="Open Sans" w:hAnsi="Times New Roman"/>
                <w:sz w:val="18"/>
                <w:szCs w:val="18"/>
              </w:rPr>
              <w:t xml:space="preserve"> December, 2024 </w:t>
            </w:r>
          </w:p>
        </w:tc>
      </w:tr>
    </w:tbl>
    <w:p>
      <w:pPr>
        <w:pStyle w:val="style0"/>
        <w:spacing w:after="200" w:lineRule="auto" w:line="259"/>
        <w:ind w:right="15"/>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8. Pictorial Evidence</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At Most 3 activity photos including photo credit</w:t>
      </w:r>
    </w:p>
    <w:tbl>
      <w:tblPr>
        <w:tblStyle w:val="style4106"/>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w:t>
            </w:r>
          </w:p>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p>
        </w:tc>
      </w:tr>
      <w:bookmarkStart w:id="3" w:name="_GoBack"/>
      <w:bookmarkEnd w:id="3"/>
    </w:tbl>
    <w:p>
      <w:pPr>
        <w:pStyle w:val="style0"/>
        <w:rPr>
          <w:sz w:val="16"/>
          <w:szCs w:val="16"/>
        </w:rPr>
      </w:pPr>
    </w:p>
    <w:sectPr>
      <w:headerReference w:type="default" r:id="rId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A00002EF" w:usb1="4000004B" w:usb2="00000000" w:usb3="00000000" w:csb0="0000019F" w:csb1="00000000"/>
  </w:font>
  <w:font w:name="Calibri">
    <w:altName w:val="Calibri"/>
    <w:panose1 w:val="020f0502020000030204"/>
    <w:charset w:val="00"/>
    <w:family w:val="swiss"/>
    <w:pitch w:val="variable"/>
    <w:sig w:usb0="E10002FF" w:usb1="4000ACFF" w:usb2="00000009"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noProof/>
      </w:rPr>
      <w:drawing>
        <wp:anchor distT="0" distB="0" distL="0" distR="0" simplePos="false" relativeHeight="2" behindDoc="false" locked="false" layoutInCell="true" allowOverlap="true">
          <wp:simplePos x="0" y="0"/>
          <wp:positionH relativeFrom="column">
            <wp:posOffset>114300</wp:posOffset>
          </wp:positionH>
          <wp:positionV relativeFrom="paragraph">
            <wp:posOffset>0</wp:posOffset>
          </wp:positionV>
          <wp:extent cx="1367259" cy="800100"/>
          <wp:effectExtent l="0" t="0" r="0" b="0"/>
          <wp:wrapNone/>
          <wp:docPr id="4097" name="image3.png" descr="Description: C:\Users\UNWOMEN3\Pictures\UN Women logo.bmp"/>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 cstate="print"/>
                  <a:srcRect l="0" t="0" r="0" b="0"/>
                  <a:stretch/>
                </pic:blipFill>
                <pic:spPr>
                  <a:xfrm rot="0">
                    <a:off x="0" y="0"/>
                    <a:ext cx="1367259" cy="800100"/>
                  </a:xfrm>
                  <a:prstGeom prst="rect"/>
                  <a:ln cmpd="sng" cap="flat" w="9525">
                    <a:solidFill>
                      <a:srgbClr val="000000"/>
                    </a:solidFill>
                    <a:prstDash val="solid"/>
                    <a:round/>
                    <a:headEnd len="med" w="med" type="none"/>
                    <a:tailEnd len="med" w="med" type="none"/>
                  </a:ln>
                </pic:spPr>
              </pic:pic>
            </a:graphicData>
          </a:graphic>
        </wp:anchor>
      </w:drawing>
    </w:r>
    <w:r>
      <w:rPr>
        <w:noProof/>
      </w:rPr>
      <w:drawing>
        <wp:anchor distT="0" distB="0" distL="0" distR="0" simplePos="false" relativeHeight="3" behindDoc="false" locked="false" layoutInCell="true" allowOverlap="true">
          <wp:simplePos x="0" y="0"/>
          <wp:positionH relativeFrom="column">
            <wp:posOffset>2457450</wp:posOffset>
          </wp:positionH>
          <wp:positionV relativeFrom="paragraph">
            <wp:posOffset>-161924</wp:posOffset>
          </wp:positionV>
          <wp:extent cx="1026795" cy="1226820"/>
          <wp:effectExtent l="0" t="0" r="0" b="0"/>
          <wp:wrapNone/>
          <wp:docPr id="409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2" cstate="print"/>
                  <a:srcRect l="0" t="0" r="0" b="0"/>
                  <a:stretch/>
                </pic:blipFill>
                <pic:spPr>
                  <a:xfrm rot="0">
                    <a:off x="0" y="0"/>
                    <a:ext cx="1026795" cy="1226820"/>
                  </a:xfrm>
                  <a:prstGeom prst="rect"/>
                  <a:ln cmpd="sng" cap="flat" w="9525">
                    <a:solidFill>
                      <a:srgbClr val="000000"/>
                    </a:solidFill>
                    <a:prstDash val="solid"/>
                    <a:round/>
                    <a:headEnd len="med" w="med" type="none"/>
                    <a:tailEnd len="med" w="med" type="none"/>
                  </a:ln>
                </pic:spPr>
              </pic:pic>
            </a:graphicData>
          </a:graphic>
        </wp:anchor>
      </w:drawing>
    </w:r>
    <w:r>
      <w:rPr>
        <w:noProof/>
      </w:rPr>
      <w:drawing>
        <wp:anchor distT="0" distB="0" distL="0" distR="0" simplePos="false" relativeHeight="4" behindDoc="false" locked="false" layoutInCell="true" allowOverlap="true">
          <wp:simplePos x="0" y="0"/>
          <wp:positionH relativeFrom="column">
            <wp:posOffset>4752975</wp:posOffset>
          </wp:positionH>
          <wp:positionV relativeFrom="paragraph">
            <wp:posOffset>-104774</wp:posOffset>
          </wp:positionV>
          <wp:extent cx="906779" cy="802005"/>
          <wp:effectExtent l="0" t="0" r="0" b="0"/>
          <wp:wrapNone/>
          <wp:docPr id="4099" name="image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2.jpg"/>
                  <pic:cNvPicPr/>
                </pic:nvPicPr>
                <pic:blipFill>
                  <a:blip r:embed="rId3" cstate="print"/>
                  <a:srcRect l="0" t="0" r="0" b="0"/>
                  <a:stretch/>
                </pic:blipFill>
                <pic:spPr>
                  <a:xfrm rot="0">
                    <a:off x="0" y="0"/>
                    <a:ext cx="906779" cy="802005"/>
                  </a:xfrm>
                  <a:prstGeom prst="rect"/>
                  <a:ln cmpd="sng" cap="flat" w="9525">
                    <a:solidFill>
                      <a:srgbClr val="000000"/>
                    </a:solidFill>
                    <a:prstDash val="solid"/>
                    <a:round/>
                    <a:headEnd len="med" w="med" type="none"/>
                    <a:tailEnd len="med" w="med" type="none"/>
                  </a:ln>
                </pic:spPr>
              </pic:pic>
            </a:graphicData>
          </a:graphic>
        </wp:anchor>
      </w:drawing>
    </w:r>
  </w:p>
  <w:p>
    <w:pPr>
      <w:pStyle w:val="style0"/>
      <w:rPr/>
    </w:pPr>
  </w:p>
  <w:p>
    <w:pPr>
      <w:pStyle w:val="style0"/>
      <w:rPr/>
    </w:pPr>
  </w:p>
  <w:p>
    <w:pPr>
      <w:pStyle w:val="style0"/>
      <w:rPr/>
    </w:pPr>
  </w:p>
  <w:p>
    <w:pPr>
      <w:pStyle w:val="style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8DE0CD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F85214DC"/>
    <w:lvl w:ilvl="0" w:tplc="189C6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4B60FBE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301E6244"/>
    <w:lvl w:ilvl="0" w:tplc="8B4C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AA66B1E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hybridMultilevel"/>
    <w:tmpl w:val="F3909E12"/>
    <w:lvl w:ilvl="0" w:tplc="954AA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BE6262C0"/>
    <w:lvl w:ilvl="0" w:tplc="35E60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ECE93CE"/>
    <w:lvl w:ilvl="0" w:tplc="4FE8D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0"/>
  </w:num>
  <w:num w:numId="8">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US"/>
      </w:rPr>
    </w:rPrDefault>
    <w:pPrDefault>
      <w:pPr>
        <w:spacing w:lineRule="auto" w:line="276"/>
      </w:pPr>
    </w:pPrDefault>
  </w:docDefaults>
  <w:style w:type="paragraph" w:default="1" w:styleId="style0">
    <w:name w:val="Normal"/>
    <w:next w:val="style0"/>
    <w:qFormat/>
    <w:pPr>
      <w:jc w:val="both"/>
    </w:pPr>
    <w:rPr>
      <w:sz w:val="21"/>
    </w:rPr>
  </w:style>
  <w:style w:type="paragraph" w:styleId="style1">
    <w:name w:val="heading 1"/>
    <w:basedOn w:val="style4097"/>
    <w:next w:val="style4097"/>
    <w:qFormat/>
    <w:uiPriority w:val="9"/>
    <w:pPr>
      <w:keepNext/>
      <w:keepLines/>
      <w:spacing w:before="400" w:after="120"/>
      <w:outlineLvl w:val="0"/>
    </w:pPr>
    <w:rPr>
      <w:sz w:val="40"/>
      <w:szCs w:val="40"/>
    </w:rPr>
  </w:style>
  <w:style w:type="paragraph" w:styleId="style2">
    <w:name w:val="heading 2"/>
    <w:basedOn w:val="style4097"/>
    <w:next w:val="style4097"/>
    <w:qFormat/>
    <w:uiPriority w:val="9"/>
    <w:pPr>
      <w:keepNext/>
      <w:keepLines/>
      <w:spacing w:before="360" w:after="120"/>
      <w:outlineLvl w:val="1"/>
    </w:pPr>
    <w:rPr>
      <w:sz w:val="32"/>
      <w:szCs w:val="32"/>
    </w:rPr>
  </w:style>
  <w:style w:type="paragraph" w:styleId="style3">
    <w:name w:val="heading 3"/>
    <w:basedOn w:val="style4097"/>
    <w:next w:val="style4097"/>
    <w:qFormat/>
    <w:uiPriority w:val="9"/>
    <w:pPr>
      <w:keepNext/>
      <w:keepLines/>
      <w:spacing w:before="320" w:after="80"/>
      <w:outlineLvl w:val="2"/>
    </w:pPr>
    <w:rPr>
      <w:color w:val="434343"/>
      <w:sz w:val="28"/>
      <w:szCs w:val="28"/>
    </w:rPr>
  </w:style>
  <w:style w:type="paragraph" w:styleId="style4">
    <w:name w:val="heading 4"/>
    <w:basedOn w:val="style4097"/>
    <w:next w:val="style4097"/>
    <w:qFormat/>
    <w:uiPriority w:val="9"/>
    <w:pPr>
      <w:keepNext/>
      <w:keepLines/>
      <w:spacing w:before="280" w:after="80"/>
      <w:outlineLvl w:val="3"/>
    </w:pPr>
    <w:rPr>
      <w:color w:val="666666"/>
      <w:sz w:val="24"/>
      <w:szCs w:val="24"/>
    </w:rPr>
  </w:style>
  <w:style w:type="paragraph" w:styleId="style5">
    <w:name w:val="heading 5"/>
    <w:basedOn w:val="style4097"/>
    <w:next w:val="style4097"/>
    <w:qFormat/>
    <w:uiPriority w:val="9"/>
    <w:pPr>
      <w:keepNext/>
      <w:keepLines/>
      <w:spacing w:before="240" w:after="80"/>
      <w:outlineLvl w:val="4"/>
    </w:pPr>
    <w:rPr>
      <w:color w:val="666666"/>
    </w:rPr>
  </w:style>
  <w:style w:type="paragraph" w:styleId="style6">
    <w:name w:val="heading 6"/>
    <w:basedOn w:val="style4097"/>
    <w:next w:val="style4097"/>
    <w:qFormat/>
    <w:uiPriority w:val="9"/>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table" w:customStyle="1" w:styleId="style4098">
    <w:name w:val="Table Normal1"/>
    <w:next w:val="style4098"/>
    <w:pPr/>
    <w:rPr/>
    <w:tblPr>
      <w:tblCellMar>
        <w:top w:w="0" w:type="dxa"/>
        <w:left w:w="0" w:type="dxa"/>
        <w:bottom w:w="0" w:type="dxa"/>
        <w:right w:w="0" w:type="dxa"/>
      </w:tblCellMar>
    </w:tblPr>
    <w:tcPr>
      <w:tcBorders/>
    </w:tcPr>
  </w:style>
  <w:style w:type="paragraph" w:styleId="style62">
    <w:name w:val="Title"/>
    <w:basedOn w:val="style4097"/>
    <w:next w:val="style4097"/>
    <w:qFormat/>
    <w:uiPriority w:val="10"/>
    <w:pPr>
      <w:keepNext/>
      <w:keepLines/>
      <w:spacing w:after="60"/>
    </w:pPr>
    <w:rPr>
      <w:sz w:val="52"/>
      <w:szCs w:val="52"/>
    </w:rPr>
  </w:style>
  <w:style w:type="paragraph" w:styleId="style74">
    <w:name w:val="Subtitle"/>
    <w:basedOn w:val="style4097"/>
    <w:next w:val="style4097"/>
    <w:qFormat/>
    <w:uiPriority w:val="11"/>
    <w:pPr>
      <w:keepNext/>
      <w:keepLines/>
      <w:spacing w:after="320"/>
    </w:pPr>
    <w:rPr>
      <w:color w:val="666666"/>
      <w:sz w:val="30"/>
      <w:szCs w:val="30"/>
    </w:rPr>
  </w:style>
  <w:style w:type="table" w:customStyle="1" w:styleId="style4099">
    <w:basedOn w:val="style4098"/>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basedOn w:val="style4098"/>
    <w:next w:val="style4100"/>
    <w:pPr/>
    <w:rPr/>
    <w:tblPr>
      <w:tblStyleRowBandSize w:val="1"/>
      <w:tblStyleColBandSize w:val="1"/>
      <w:tblCellMar>
        <w:top w:w="100" w:type="dxa"/>
        <w:left w:w="100" w:type="dxa"/>
        <w:bottom w:w="100" w:type="dxa"/>
        <w:right w:w="100" w:type="dxa"/>
      </w:tblCellMar>
    </w:tblPr>
    <w:tcPr>
      <w:tcBorders/>
    </w:tcPr>
  </w:style>
  <w:style w:type="table" w:customStyle="1" w:styleId="style4101">
    <w:basedOn w:val="style4098"/>
    <w:next w:val="style4101"/>
    <w:pPr/>
    <w:rPr/>
    <w:tblPr>
      <w:tblStyleRowBandSize w:val="1"/>
      <w:tblStyleColBandSize w:val="1"/>
      <w:tblCellMar>
        <w:top w:w="100" w:type="dxa"/>
        <w:left w:w="100" w:type="dxa"/>
        <w:bottom w:w="100" w:type="dxa"/>
        <w:right w:w="100" w:type="dxa"/>
      </w:tblCellMar>
    </w:tblPr>
    <w:tcPr>
      <w:tcBorders/>
    </w:tcPr>
  </w:style>
  <w:style w:type="table" w:customStyle="1" w:styleId="style4102">
    <w:basedOn w:val="style4098"/>
    <w:next w:val="style4102"/>
    <w:pPr/>
    <w:rPr/>
    <w:tblPr>
      <w:tblStyleRowBandSize w:val="1"/>
      <w:tblStyleColBandSize w:val="1"/>
      <w:tblCellMar>
        <w:top w:w="100" w:type="dxa"/>
        <w:left w:w="100" w:type="dxa"/>
        <w:bottom w:w="100" w:type="dxa"/>
        <w:right w:w="100" w:type="dxa"/>
      </w:tblCellMar>
    </w:tblPr>
    <w:tcPr>
      <w:tcBorders/>
    </w:tcPr>
  </w:style>
  <w:style w:type="table" w:customStyle="1" w:styleId="style4103">
    <w:basedOn w:val="style4098"/>
    <w:next w:val="style4103"/>
    <w:pPr/>
    <w:rPr/>
    <w:tblPr>
      <w:tblStyleRowBandSize w:val="1"/>
      <w:tblStyleColBandSize w:val="1"/>
      <w:tblCellMar>
        <w:top w:w="100" w:type="dxa"/>
        <w:left w:w="100" w:type="dxa"/>
        <w:bottom w:w="100" w:type="dxa"/>
        <w:right w:w="100" w:type="dxa"/>
      </w:tblCellMar>
    </w:tblPr>
    <w:tcPr>
      <w:tcBorders/>
    </w:tcPr>
  </w:style>
  <w:style w:type="table" w:customStyle="1" w:styleId="style4104">
    <w:basedOn w:val="style4098"/>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8"/>
    <w:next w:val="style4105"/>
    <w:pPr/>
    <w:rPr/>
    <w:tblPr>
      <w:tblStyleRowBandSize w:val="1"/>
      <w:tblStyleColBandSize w:val="1"/>
      <w:tblCellMar>
        <w:top w:w="100" w:type="dxa"/>
        <w:left w:w="100" w:type="dxa"/>
        <w:bottom w:w="100" w:type="dxa"/>
        <w:right w:w="100" w:type="dxa"/>
      </w:tblCellMar>
    </w:tblPr>
    <w:tcPr>
      <w:tcBorders/>
    </w:tcPr>
  </w:style>
  <w:style w:type="table" w:customStyle="1" w:styleId="style4106">
    <w:basedOn w:val="style4098"/>
    <w:next w:val="style4106"/>
    <w:pPr/>
    <w:rPr/>
    <w:tblPr>
      <w:tblStyleRowBandSize w:val="1"/>
      <w:tblStyleColBandSize w:val="1"/>
      <w:tblCellMar>
        <w:top w:w="100" w:type="dxa"/>
        <w:left w:w="100" w:type="dxa"/>
        <w:bottom w:w="100" w:type="dxa"/>
        <w:right w:w="100"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jc w:val="left"/>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1212</Words>
  <Pages>4</Pages>
  <Characters>7627</Characters>
  <Application>WPS Office</Application>
  <DocSecurity>0</DocSecurity>
  <Paragraphs>160</Paragraphs>
  <ScaleCrop>false</ScaleCrop>
  <LinksUpToDate>false</LinksUpToDate>
  <CharactersWithSpaces>8761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2024-11-01T15:00:00Z</dcterms:created>
  <dc:creator>WPS Office</dc:creator>
  <lastModifiedBy>SM-A055F</lastModifiedBy>
  <dcterms:modified xsi:type="dcterms:W3CDTF">2024-11-05T23:23:07Z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d2e37cbd628247e788a9f37e5873e538</vt:lpwstr>
  </property>
</Properties>
</file>